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12" w:rsidRDefault="002F7E12">
      <w:pPr>
        <w:pStyle w:val="ConsPlusTitlePage"/>
      </w:pPr>
      <w:r>
        <w:t xml:space="preserve">Документ предоставлен </w:t>
      </w:r>
      <w:hyperlink r:id="rId5" w:history="1">
        <w:r>
          <w:rPr>
            <w:color w:val="0000FF"/>
          </w:rPr>
          <w:t>КонсультантПлюс</w:t>
        </w:r>
      </w:hyperlink>
      <w:r>
        <w:br/>
      </w:r>
    </w:p>
    <w:p w:rsidR="002F7E12" w:rsidRDefault="002F7E12">
      <w:pPr>
        <w:pStyle w:val="ConsPlusNormal"/>
        <w:jc w:val="both"/>
      </w:pPr>
    </w:p>
    <w:p w:rsidR="002F7E12" w:rsidRDefault="002F7E12">
      <w:pPr>
        <w:pStyle w:val="ConsPlusNormal"/>
        <w:ind w:firstLine="540"/>
        <w:jc w:val="both"/>
      </w:pPr>
      <w:r>
        <w:rPr>
          <w:b/>
        </w:rPr>
        <w:t>Вопрос:</w:t>
      </w:r>
      <w:r>
        <w:t xml:space="preserve"> Об обеспечении исполнения контракта; об обязательствах по контракту и ответственности за их неисполнение (ненадлежащее исполнение).</w:t>
      </w:r>
    </w:p>
    <w:p w:rsidR="002F7E12" w:rsidRDefault="002F7E12">
      <w:pPr>
        <w:pStyle w:val="ConsPlusNormal"/>
        <w:jc w:val="both"/>
      </w:pPr>
    </w:p>
    <w:p w:rsidR="002F7E12" w:rsidRDefault="002F7E12">
      <w:pPr>
        <w:pStyle w:val="ConsPlusNormal"/>
        <w:ind w:firstLine="540"/>
        <w:jc w:val="both"/>
      </w:pPr>
      <w:r>
        <w:rPr>
          <w:b/>
        </w:rPr>
        <w:t>Ответ:</w:t>
      </w:r>
    </w:p>
    <w:p w:rsidR="002F7E12" w:rsidRDefault="002F7E12">
      <w:pPr>
        <w:pStyle w:val="ConsPlusTitle"/>
        <w:jc w:val="center"/>
      </w:pPr>
      <w:r>
        <w:t>МИНИСТЕРСТВО ЭКОНОМИЧЕСКОГО РАЗВИТИЯ РОССИЙСКОЙ ФЕДЕРАЦИИ</w:t>
      </w:r>
    </w:p>
    <w:p w:rsidR="002F7E12" w:rsidRDefault="002F7E12">
      <w:pPr>
        <w:pStyle w:val="ConsPlusTitle"/>
        <w:jc w:val="center"/>
      </w:pPr>
    </w:p>
    <w:p w:rsidR="002F7E12" w:rsidRDefault="002F7E12">
      <w:pPr>
        <w:pStyle w:val="ConsPlusTitle"/>
        <w:jc w:val="center"/>
      </w:pPr>
      <w:r>
        <w:t>ПИСЬМО</w:t>
      </w:r>
    </w:p>
    <w:p w:rsidR="002F7E12" w:rsidRDefault="002F7E12">
      <w:pPr>
        <w:pStyle w:val="ConsPlusTitle"/>
        <w:jc w:val="center"/>
      </w:pPr>
      <w:r>
        <w:t>от 23 октября 2015 г. N Д28и-3145</w:t>
      </w:r>
    </w:p>
    <w:p w:rsidR="002F7E12" w:rsidRDefault="002F7E12">
      <w:pPr>
        <w:pStyle w:val="ConsPlusNormal"/>
        <w:jc w:val="both"/>
      </w:pPr>
    </w:p>
    <w:p w:rsidR="002F7E12" w:rsidRDefault="002F7E12">
      <w:pPr>
        <w:pStyle w:val="ConsPlusNormal"/>
        <w:ind w:firstLine="540"/>
        <w:jc w:val="both"/>
      </w:pPr>
      <w:r>
        <w:t xml:space="preserve">Департамент развития контрактной системы Минэкономразвития России рассмотрел обращение МКУ по вопросу о разъяснении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2F7E12" w:rsidRDefault="002F7E12">
      <w:pPr>
        <w:pStyle w:val="ConsPlusNormal"/>
        <w:ind w:firstLine="540"/>
        <w:jc w:val="both"/>
      </w:pPr>
      <w:r>
        <w:t>По вопросу 1.</w:t>
      </w:r>
    </w:p>
    <w:p w:rsidR="002F7E12" w:rsidRDefault="002F7E12">
      <w:pPr>
        <w:pStyle w:val="ConsPlusNormal"/>
        <w:ind w:firstLine="540"/>
        <w:jc w:val="both"/>
      </w:pPr>
      <w:r>
        <w:t xml:space="preserve">Согласно </w:t>
      </w:r>
      <w:hyperlink r:id="rId7" w:history="1">
        <w:r>
          <w:rPr>
            <w:color w:val="0000FF"/>
          </w:rPr>
          <w:t>части 1 статьи 96</w:t>
        </w:r>
      </w:hyperlink>
      <w:r>
        <w:t xml:space="preserve"> Закона N 44-ФЗ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r:id="rId8" w:history="1">
        <w:r>
          <w:rPr>
            <w:color w:val="0000FF"/>
          </w:rPr>
          <w:t>частью 2 данной статьи</w:t>
        </w:r>
      </w:hyperlink>
      <w:r>
        <w:t>.</w:t>
      </w:r>
    </w:p>
    <w:p w:rsidR="002F7E12" w:rsidRDefault="002F7E12">
      <w:pPr>
        <w:pStyle w:val="ConsPlusNormal"/>
        <w:ind w:firstLine="540"/>
        <w:jc w:val="both"/>
      </w:pPr>
      <w: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с </w:t>
      </w:r>
      <w:hyperlink r:id="rId9" w:history="1">
        <w:r>
          <w:rPr>
            <w:color w:val="0000FF"/>
          </w:rPr>
          <w:t>Законом</w:t>
        </w:r>
      </w:hyperlink>
      <w:r>
        <w:t xml:space="preserve"> N 44-ФЗ.</w:t>
      </w:r>
    </w:p>
    <w:p w:rsidR="002F7E12" w:rsidRDefault="002F7E12">
      <w:pPr>
        <w:pStyle w:val="ConsPlusNormal"/>
        <w:ind w:firstLine="540"/>
        <w:jc w:val="both"/>
      </w:pPr>
      <w:r>
        <w:t>Таким образом, обеспечение исполнения контракта предоставляется на весь период исполнения контракта.</w:t>
      </w:r>
    </w:p>
    <w:p w:rsidR="002F7E12" w:rsidRDefault="002F7E12">
      <w:pPr>
        <w:pStyle w:val="ConsPlusNormal"/>
        <w:ind w:firstLine="540"/>
        <w:jc w:val="both"/>
      </w:pPr>
      <w:r>
        <w:t>По вопросу 2.</w:t>
      </w:r>
    </w:p>
    <w:p w:rsidR="002F7E12" w:rsidRDefault="002F7E12">
      <w:pPr>
        <w:pStyle w:val="ConsPlusNormal"/>
        <w:ind w:firstLine="540"/>
        <w:jc w:val="both"/>
      </w:pPr>
      <w:hyperlink r:id="rId10" w:history="1">
        <w:r>
          <w:rPr>
            <w:color w:val="0000FF"/>
          </w:rPr>
          <w:t>Частью 3 статьи 96</w:t>
        </w:r>
      </w:hyperlink>
      <w:r>
        <w:t xml:space="preserve"> Закона N 44-ФЗ установлено, что исполнение контракта может обеспечиваться предоставлением банковской гарантии, выданной банком и соответствующей требованиям </w:t>
      </w:r>
      <w:hyperlink r:id="rId11" w:history="1">
        <w:r>
          <w:rPr>
            <w:color w:val="0000FF"/>
          </w:rPr>
          <w:t>статьи 45</w:t>
        </w:r>
      </w:hyperlink>
      <w:r>
        <w:t xml:space="preserve"> Закона N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2F7E12" w:rsidRDefault="002F7E12">
      <w:pPr>
        <w:pStyle w:val="ConsPlusNormal"/>
        <w:ind w:firstLine="540"/>
        <w:jc w:val="both"/>
      </w:pPr>
      <w:r>
        <w:t xml:space="preserve">Таким образом, срок действия обеспечения исполнения контракта может быть </w:t>
      </w:r>
      <w:proofErr w:type="gramStart"/>
      <w:r>
        <w:t>два и более месяцев</w:t>
      </w:r>
      <w:proofErr w:type="gramEnd"/>
      <w:r>
        <w:t xml:space="preserve"> после ввода объекта в эксплуатацию.</w:t>
      </w:r>
    </w:p>
    <w:p w:rsidR="002F7E12" w:rsidRDefault="002F7E12">
      <w:pPr>
        <w:pStyle w:val="ConsPlusNormal"/>
        <w:ind w:firstLine="540"/>
        <w:jc w:val="both"/>
      </w:pPr>
      <w:r>
        <w:t xml:space="preserve">При этом необходимо отметить, что </w:t>
      </w:r>
      <w:hyperlink r:id="rId12" w:history="1">
        <w:r>
          <w:rPr>
            <w:color w:val="0000FF"/>
          </w:rPr>
          <w:t>частью 7 статьи 96</w:t>
        </w:r>
      </w:hyperlink>
      <w:r>
        <w:t xml:space="preserve"> Закона N 44-ФЗ предусмотрена возможность поставщика (подрядчика, исполнителя) в ходе исполнения контракта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F7E12" w:rsidRDefault="002F7E12">
      <w:pPr>
        <w:pStyle w:val="ConsPlusNormal"/>
        <w:ind w:firstLine="540"/>
        <w:jc w:val="both"/>
      </w:pPr>
      <w:r>
        <w:t>По вопросам 3, 3.1.</w:t>
      </w:r>
    </w:p>
    <w:p w:rsidR="002F7E12" w:rsidRDefault="002F7E12">
      <w:pPr>
        <w:pStyle w:val="ConsPlusNormal"/>
        <w:ind w:firstLine="540"/>
        <w:jc w:val="both"/>
      </w:pPr>
      <w:r>
        <w:t xml:space="preserve">Следует отметить, что обеспечение исполнения контракта предоставляется на весь период исполнения контракта. Положениями </w:t>
      </w:r>
      <w:hyperlink r:id="rId13" w:history="1">
        <w:r>
          <w:rPr>
            <w:color w:val="0000FF"/>
          </w:rPr>
          <w:t>Закона</w:t>
        </w:r>
      </w:hyperlink>
      <w:r>
        <w:t xml:space="preserve"> N 44-ФЗ не установлена обязанность для подрядчика по предоставлению обеспечения исполнения контракта в период, когда срок исполнения обязательств по контракту истек, но подрядчиком не исполнены обязательства по контракту в полном объеме.</w:t>
      </w:r>
    </w:p>
    <w:p w:rsidR="002F7E12" w:rsidRDefault="002F7E12">
      <w:pPr>
        <w:pStyle w:val="ConsPlusNormal"/>
        <w:ind w:firstLine="540"/>
        <w:jc w:val="both"/>
      </w:pPr>
      <w:r>
        <w:t xml:space="preserve">При этом согласно </w:t>
      </w:r>
      <w:hyperlink r:id="rId14" w:history="1">
        <w:r>
          <w:rPr>
            <w:color w:val="0000FF"/>
          </w:rPr>
          <w:t>части 4 статьи 34</w:t>
        </w:r>
      </w:hyperlink>
      <w:r>
        <w:t xml:space="preserve"> Закона N 44-ФЗ в контра</w:t>
      </w:r>
      <w:proofErr w:type="gramStart"/>
      <w:r>
        <w:t>кт вкл</w:t>
      </w:r>
      <w:proofErr w:type="gramEnd"/>
      <w:r>
        <w:t xml:space="preserve">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t>
      </w:r>
      <w:proofErr w:type="gramStart"/>
      <w:r>
        <w:t xml:space="preserve">При этом </w:t>
      </w:r>
      <w:hyperlink r:id="rId15" w:history="1">
        <w:r>
          <w:rPr>
            <w:color w:val="0000FF"/>
          </w:rPr>
          <w:t>частями 5</w:t>
        </w:r>
      </w:hyperlink>
      <w:r>
        <w:t xml:space="preserve">, </w:t>
      </w:r>
      <w:hyperlink r:id="rId16" w:history="1">
        <w:r>
          <w:rPr>
            <w:color w:val="0000FF"/>
          </w:rPr>
          <w:t>7</w:t>
        </w:r>
      </w:hyperlink>
      <w:r>
        <w:t xml:space="preserve">, </w:t>
      </w:r>
      <w:hyperlink r:id="rId17" w:history="1">
        <w:r>
          <w:rPr>
            <w:color w:val="0000FF"/>
          </w:rPr>
          <w:t>8 статьи 34</w:t>
        </w:r>
      </w:hyperlink>
      <w:r>
        <w:t xml:space="preserve"> Закона N 44-ФЗ установлено, что заказчик обязан установить размер пени, определенный в порядке, установленном Правительством Российской Федерации, в случае просрочки исполнения поставщиком (подрядчиком, исполнителем) обязательств по контракту, а </w:t>
      </w:r>
      <w:r>
        <w:lastRenderedPageBreak/>
        <w:t>также размер штрафа в виде фиксированной суммы, определенной в порядке, установленном Правительством Российской Федерации, за ненадлежащее исполнение сторонами своих обязательств по контракту.</w:t>
      </w:r>
      <w:proofErr w:type="gramEnd"/>
    </w:p>
    <w:p w:rsidR="002F7E12" w:rsidRDefault="002F7E12">
      <w:pPr>
        <w:pStyle w:val="ConsPlusNormal"/>
        <w:ind w:firstLine="540"/>
        <w:jc w:val="both"/>
      </w:pPr>
      <w:proofErr w:type="gramStart"/>
      <w:r>
        <w:t xml:space="preserve">Постановлением Правительства Российской Федерации от 25 ноября 2013 г. N 1063 (далее - постановление N 1063) утверждены </w:t>
      </w:r>
      <w:hyperlink r:id="rId18" w:history="1">
        <w:r>
          <w:rPr>
            <w:color w:val="0000FF"/>
          </w:rPr>
          <w:t>Правила</w:t>
        </w:r>
      </w:hyperlink>
      <w:r>
        <w:t xml:space="preserve">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roofErr w:type="gramEnd"/>
    </w:p>
    <w:p w:rsidR="002F7E12" w:rsidRDefault="002F7E12">
      <w:pPr>
        <w:pStyle w:val="ConsPlusNormal"/>
        <w:ind w:firstLine="540"/>
        <w:jc w:val="both"/>
      </w:pPr>
      <w:r>
        <w:t>По вопросам 4, 5.</w:t>
      </w:r>
    </w:p>
    <w:p w:rsidR="002F7E12" w:rsidRDefault="002F7E12">
      <w:pPr>
        <w:pStyle w:val="ConsPlusNormal"/>
        <w:ind w:firstLine="540"/>
        <w:jc w:val="both"/>
      </w:pPr>
      <w:r>
        <w:t xml:space="preserve">В соответствии с </w:t>
      </w:r>
      <w:hyperlink r:id="rId19" w:history="1">
        <w:r>
          <w:rPr>
            <w:color w:val="0000FF"/>
          </w:rPr>
          <w:t>частью 7 статьи 96</w:t>
        </w:r>
      </w:hyperlink>
      <w:r>
        <w:t xml:space="preserve"> Закона N 44-ФЗ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F7E12" w:rsidRDefault="002F7E12">
      <w:pPr>
        <w:pStyle w:val="ConsPlusNormal"/>
        <w:ind w:firstLine="540"/>
        <w:jc w:val="both"/>
      </w:pPr>
      <w:r>
        <w:t>Расчет предоставляемого обеспечения исполнения контракта следует осуществлять от суммы неисполненных обязатель</w:t>
      </w:r>
      <w:proofErr w:type="gramStart"/>
      <w:r>
        <w:t>ств пр</w:t>
      </w:r>
      <w:proofErr w:type="gramEnd"/>
      <w:r>
        <w:t>опорционально (поставщик исполнил контракт на 10%, следовательно, размер предоставляемого обеспечения следует уменьшать на 10% относительно обеспечения исполнения контракта, предоставляемого исполнителем при его заключении).</w:t>
      </w:r>
    </w:p>
    <w:p w:rsidR="002F7E12" w:rsidRDefault="002F7E12">
      <w:pPr>
        <w:pStyle w:val="ConsPlusNormal"/>
        <w:ind w:firstLine="540"/>
        <w:jc w:val="both"/>
      </w:pPr>
      <w:r>
        <w:t>При этом объем выполненных работ должен быть документально подтвержден.</w:t>
      </w:r>
    </w:p>
    <w:p w:rsidR="002F7E12" w:rsidRDefault="002F7E12">
      <w:pPr>
        <w:pStyle w:val="ConsPlusNormal"/>
        <w:ind w:firstLine="540"/>
        <w:jc w:val="both"/>
      </w:pPr>
      <w:r>
        <w:t>По вопросам 6, 6.1, 6.2.</w:t>
      </w:r>
    </w:p>
    <w:p w:rsidR="002F7E12" w:rsidRDefault="002F7E12">
      <w:pPr>
        <w:pStyle w:val="ConsPlusNormal"/>
        <w:ind w:firstLine="540"/>
        <w:jc w:val="both"/>
      </w:pPr>
      <w:r>
        <w:t xml:space="preserve">В соответствии со </w:t>
      </w:r>
      <w:hyperlink r:id="rId20" w:history="1">
        <w:r>
          <w:rPr>
            <w:color w:val="0000FF"/>
          </w:rPr>
          <w:t>статьей 702</w:t>
        </w:r>
      </w:hyperlink>
      <w:r>
        <w:t xml:space="preserve"> Гражданского кодекса Российской Федерации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2F7E12" w:rsidRDefault="002F7E12">
      <w:pPr>
        <w:pStyle w:val="ConsPlusNormal"/>
        <w:ind w:firstLine="540"/>
        <w:jc w:val="both"/>
      </w:pPr>
      <w:proofErr w:type="gramStart"/>
      <w:r>
        <w:t xml:space="preserve">Согласно </w:t>
      </w:r>
      <w:hyperlink r:id="rId21" w:history="1">
        <w:r>
          <w:rPr>
            <w:color w:val="0000FF"/>
          </w:rPr>
          <w:t>части 1 статьи 34</w:t>
        </w:r>
      </w:hyperlink>
      <w:r>
        <w:t xml:space="preserve"> Закона N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N 44-ФЗ извещение об осуществлении закупки или приглашение принять участие в определении поставщика</w:t>
      </w:r>
      <w:proofErr w:type="gramEnd"/>
      <w:r>
        <w:t xml:space="preserve"> (подрядчика, исполнителя), документация о закупке, заявка, окончательное предложение не </w:t>
      </w:r>
      <w:proofErr w:type="gramStart"/>
      <w:r>
        <w:t>предусмотрены</w:t>
      </w:r>
      <w:proofErr w:type="gramEnd"/>
      <w:r>
        <w:t>.</w:t>
      </w:r>
    </w:p>
    <w:p w:rsidR="002F7E12" w:rsidRDefault="002F7E12">
      <w:pPr>
        <w:pStyle w:val="ConsPlusNormal"/>
        <w:ind w:firstLine="540"/>
        <w:jc w:val="both"/>
      </w:pPr>
      <w:proofErr w:type="gramStart"/>
      <w:r>
        <w:t>Учитывая изложенное, основными обязательствами по контракту являются обязательства (в том числе ввод объекта в эксплуатацию, строительно-монтажные работы, предоставление документации с заключением государственной экспертизы), указанные заказчиком в извещении об осуществлении закупки или приглашении принять участие в определении поставщика (подрядчика, исполнителя), документации о закупке, заявке, окончательном предложении участника закупки, с которым заключается контракт.</w:t>
      </w:r>
      <w:proofErr w:type="gramEnd"/>
    </w:p>
    <w:p w:rsidR="002F7E12" w:rsidRDefault="002F7E12">
      <w:pPr>
        <w:pStyle w:val="ConsPlusNormal"/>
        <w:ind w:firstLine="540"/>
        <w:jc w:val="both"/>
      </w:pPr>
      <w:r>
        <w:t xml:space="preserve">Одновременно сообщаем,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t>издавать</w:t>
      </w:r>
      <w:proofErr w:type="gramEnd"/>
      <w: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w:t>
      </w:r>
      <w:hyperlink r:id="rId22" w:history="1">
        <w:r>
          <w:rPr>
            <w:color w:val="0000FF"/>
          </w:rPr>
          <w:t>Положением</w:t>
        </w:r>
      </w:hyperlink>
      <w:r>
        <w:t xml:space="preserve">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2F7E12" w:rsidRDefault="002F7E12">
      <w:pPr>
        <w:pStyle w:val="ConsPlusNormal"/>
        <w:jc w:val="both"/>
      </w:pPr>
    </w:p>
    <w:p w:rsidR="002F7E12" w:rsidRDefault="002F7E12">
      <w:pPr>
        <w:pStyle w:val="ConsPlusNormal"/>
        <w:jc w:val="right"/>
      </w:pPr>
      <w:r>
        <w:t>Директор Департамента</w:t>
      </w:r>
    </w:p>
    <w:p w:rsidR="002F7E12" w:rsidRDefault="002F7E12">
      <w:pPr>
        <w:pStyle w:val="ConsPlusNormal"/>
        <w:jc w:val="right"/>
      </w:pPr>
      <w:r>
        <w:t>развития контрактной системы</w:t>
      </w:r>
    </w:p>
    <w:p w:rsidR="002F7E12" w:rsidRDefault="002F7E12">
      <w:pPr>
        <w:pStyle w:val="ConsPlusNormal"/>
        <w:jc w:val="right"/>
      </w:pPr>
      <w:r>
        <w:t>М.В.ЧЕМЕРИСОВ</w:t>
      </w:r>
    </w:p>
    <w:p w:rsidR="002F7E12" w:rsidRDefault="002F7E12">
      <w:pPr>
        <w:pStyle w:val="ConsPlusNormal"/>
      </w:pPr>
      <w:r>
        <w:t>23.10.2015</w:t>
      </w:r>
    </w:p>
    <w:p w:rsidR="002F7E12" w:rsidRDefault="002F7E12">
      <w:pPr>
        <w:pStyle w:val="ConsPlusNormal"/>
      </w:pPr>
    </w:p>
    <w:p w:rsidR="002F7E12" w:rsidRDefault="002F7E12">
      <w:pPr>
        <w:pStyle w:val="ConsPlusNormal"/>
      </w:pPr>
    </w:p>
    <w:p w:rsidR="002F7E12" w:rsidRDefault="002F7E12">
      <w:pPr>
        <w:pStyle w:val="ConsPlusNormal"/>
        <w:pBdr>
          <w:top w:val="single" w:sz="6" w:space="0" w:color="auto"/>
        </w:pBdr>
        <w:spacing w:before="100" w:after="100"/>
        <w:jc w:val="both"/>
        <w:rPr>
          <w:sz w:val="2"/>
          <w:szCs w:val="2"/>
        </w:rPr>
      </w:pPr>
    </w:p>
    <w:p w:rsidR="00376CB6" w:rsidRDefault="00376CB6">
      <w:bookmarkStart w:id="0" w:name="_GoBack"/>
      <w:bookmarkEnd w:id="0"/>
    </w:p>
    <w:sectPr w:rsidR="00376CB6" w:rsidSect="00E71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12"/>
    <w:rsid w:val="002F7E12"/>
    <w:rsid w:val="0037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7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7E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E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7E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7E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2A325F57B7A8464CD6BD8E70291F9A6494E8472D7532CFDEC66C988214870B84DF015B435Fk4M" TargetMode="External"/><Relationship Id="rId13" Type="http://schemas.openxmlformats.org/officeDocument/2006/relationships/hyperlink" Target="consultantplus://offline/ref=EE2A325F57B7A8464CD6BD8E70291F9A6494E8472D7532CFDEC66C988251k4M" TargetMode="External"/><Relationship Id="rId18" Type="http://schemas.openxmlformats.org/officeDocument/2006/relationships/hyperlink" Target="consultantplus://offline/ref=EE2A325F57B7A8464CD6BD8E70291F9A6496EA4A2A7132CFDEC66C988214870B84DF015B41F0303257kBM" TargetMode="External"/><Relationship Id="rId3" Type="http://schemas.openxmlformats.org/officeDocument/2006/relationships/settings" Target="settings.xml"/><Relationship Id="rId21" Type="http://schemas.openxmlformats.org/officeDocument/2006/relationships/hyperlink" Target="consultantplus://offline/ref=EE2A325F57B7A8464CD6BD8E70291F9A6494E8472D7532CFDEC66C988214870B84DF015B41F0343257k3M" TargetMode="External"/><Relationship Id="rId7" Type="http://schemas.openxmlformats.org/officeDocument/2006/relationships/hyperlink" Target="consultantplus://offline/ref=EE2A325F57B7A8464CD6BD8E70291F9A6494E8472D7532CFDEC66C988214870B84DF015B41F1333657k7M" TargetMode="External"/><Relationship Id="rId12" Type="http://schemas.openxmlformats.org/officeDocument/2006/relationships/hyperlink" Target="consultantplus://offline/ref=EE2A325F57B7A8464CD6BD8E70291F9A6494E8472D7532CFDEC66C988214870B84DF015B41F1333757k3M" TargetMode="External"/><Relationship Id="rId17" Type="http://schemas.openxmlformats.org/officeDocument/2006/relationships/hyperlink" Target="consultantplus://offline/ref=EE2A325F57B7A8464CD6BD8E70291F9A6494E8472D7532CFDEC66C988214870B84DF015B41F1373357kAM" TargetMode="External"/><Relationship Id="rId2" Type="http://schemas.microsoft.com/office/2007/relationships/stylesWithEffects" Target="stylesWithEffects.xml"/><Relationship Id="rId16" Type="http://schemas.openxmlformats.org/officeDocument/2006/relationships/hyperlink" Target="consultantplus://offline/ref=EE2A325F57B7A8464CD6BD8E70291F9A6494E8472D7532CFDEC66C988214870B84DF015B41F0343257k5M" TargetMode="External"/><Relationship Id="rId20" Type="http://schemas.openxmlformats.org/officeDocument/2006/relationships/hyperlink" Target="consultantplus://offline/ref=EE2A325F57B7A8464CD6BD8E70291F9A649BEC432A7632CFDEC66C988214870B84DF015B41F1303057k7M" TargetMode="External"/><Relationship Id="rId1" Type="http://schemas.openxmlformats.org/officeDocument/2006/relationships/styles" Target="styles.xml"/><Relationship Id="rId6" Type="http://schemas.openxmlformats.org/officeDocument/2006/relationships/hyperlink" Target="consultantplus://offline/ref=EE2A325F57B7A8464CD6BD8E70291F9A6494E8472D7532CFDEC66C988251k4M" TargetMode="External"/><Relationship Id="rId11" Type="http://schemas.openxmlformats.org/officeDocument/2006/relationships/hyperlink" Target="consultantplus://offline/ref=EE2A325F57B7A8464CD6BD8E70291F9A6494E8472D7532CFDEC66C988214870B84DF015F54k7M"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EE2A325F57B7A8464CD6BD8E70291F9A6494E8472D7532CFDEC66C988214870B84DF015B41F1373357k4M" TargetMode="External"/><Relationship Id="rId23" Type="http://schemas.openxmlformats.org/officeDocument/2006/relationships/fontTable" Target="fontTable.xml"/><Relationship Id="rId10" Type="http://schemas.openxmlformats.org/officeDocument/2006/relationships/hyperlink" Target="consultantplus://offline/ref=EE2A325F57B7A8464CD6BD8E70291F9A6494E8472D7532CFDEC66C988214870B84DF015B41F1333657k5M" TargetMode="External"/><Relationship Id="rId19" Type="http://schemas.openxmlformats.org/officeDocument/2006/relationships/hyperlink" Target="consultantplus://offline/ref=EE2A325F57B7A8464CD6BD8E70291F9A6494E8472D7532CFDEC66C988214870B84DF015B41F1333757k3M" TargetMode="External"/><Relationship Id="rId4" Type="http://schemas.openxmlformats.org/officeDocument/2006/relationships/webSettings" Target="webSettings.xml"/><Relationship Id="rId9" Type="http://schemas.openxmlformats.org/officeDocument/2006/relationships/hyperlink" Target="consultantplus://offline/ref=EE2A325F57B7A8464CD6BD8E70291F9A6494E8472D7532CFDEC66C988251k4M" TargetMode="External"/><Relationship Id="rId14" Type="http://schemas.openxmlformats.org/officeDocument/2006/relationships/hyperlink" Target="consultantplus://offline/ref=EE2A325F57B7A8464CD6BD8E70291F9A6494E8472D7532CFDEC66C988214870B84DF015B41F0343257k6M" TargetMode="External"/><Relationship Id="rId22" Type="http://schemas.openxmlformats.org/officeDocument/2006/relationships/hyperlink" Target="consultantplus://offline/ref=EE2A325F57B7A8464CD6BD8E70291F9A649BEB47207332CFDEC66C988214870B84DF015B41F0303057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1374</Words>
  <Characters>7837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2015-11-30T12:36:00Z</dcterms:created>
  <dcterms:modified xsi:type="dcterms:W3CDTF">2015-11-30T12:37:00Z</dcterms:modified>
</cp:coreProperties>
</file>